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A6" w:rsidRDefault="004065A6">
      <w:pPr>
        <w:pStyle w:val="Standard"/>
        <w:pBdr>
          <w:top w:val="single" w:sz="4" w:space="0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after="0" w:line="240" w:lineRule="auto"/>
        <w:jc w:val="center"/>
        <w:rPr>
          <w:rFonts w:ascii="Garamond" w:hAnsi="Garamond"/>
          <w:b/>
          <w:szCs w:val="24"/>
        </w:rPr>
      </w:pPr>
    </w:p>
    <w:p w:rsidR="004065A6" w:rsidRDefault="00A272F2">
      <w:pPr>
        <w:pStyle w:val="Standard"/>
        <w:pBdr>
          <w:top w:val="single" w:sz="4" w:space="0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after="0" w:line="240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MOD. A.3 - DICHIARAZIONI CONFLITTO DI INTERESSI DEL TITOLARE EFFETTIVO</w:t>
      </w:r>
    </w:p>
    <w:p w:rsidR="00A272F2" w:rsidRDefault="00A272F2" w:rsidP="00A272F2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after="0"/>
        <w:jc w:val="both"/>
        <w:rPr>
          <w:rFonts w:hint="eastAsia"/>
        </w:rPr>
      </w:pPr>
      <w:r>
        <w:rPr>
          <w:rFonts w:ascii="Garamond" w:hAnsi="Garamond"/>
          <w:color w:val="000000"/>
        </w:rPr>
        <w:t>Procedura aperta per l’affidamento dei servizi di ingegneria e architettura per l’attività di Progettazione (aggiornamento e definizione studio di fattibilità e progettazione esecutiva), Coordinamento della sicurezza in fase di progettazione, Relazioni geologiche (comprese le analisi) ed Acustiche, necessarie ai lavori di realizzazione di una piscina terapeutica</w:t>
      </w:r>
    </w:p>
    <w:p w:rsidR="00A272F2" w:rsidRDefault="00A272F2">
      <w:pPr>
        <w:jc w:val="both"/>
        <w:rPr>
          <w:rFonts w:ascii="Garamond" w:hAnsi="Garamond"/>
          <w:smallCaps/>
          <w:szCs w:val="24"/>
        </w:rPr>
      </w:pPr>
    </w:p>
    <w:p w:rsidR="004065A6" w:rsidRDefault="00A272F2">
      <w:pPr>
        <w:jc w:val="both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smallCaps/>
          <w:szCs w:val="24"/>
        </w:rPr>
        <w:t xml:space="preserve">il sottoscritto ___________________________________________________ nato a ________________ il __________________ nella sua qualità di </w:t>
      </w:r>
      <w:r>
        <w:rPr>
          <w:rFonts w:ascii="Garamond" w:hAnsi="Garamond"/>
          <w:b/>
          <w:smallCaps/>
          <w:szCs w:val="24"/>
        </w:rPr>
        <w:t>TITOLARE EFFETTIVO</w:t>
      </w:r>
      <w:r>
        <w:rPr>
          <w:rFonts w:ascii="Garamond" w:hAnsi="Garamond"/>
          <w:smallCaps/>
          <w:szCs w:val="24"/>
        </w:rPr>
        <w:t xml:space="preserve"> di _________________________________</w:t>
      </w:r>
      <w:r>
        <w:rPr>
          <w:rFonts w:ascii="Garamond" w:hAnsi="Garamond"/>
          <w:smallCaps/>
          <w:szCs w:val="24"/>
        </w:rPr>
        <w:t>____________________ (</w:t>
      </w:r>
      <w:r>
        <w:rPr>
          <w:rFonts w:ascii="Garamond" w:hAnsi="Garamond"/>
          <w:i/>
          <w:smallCaps/>
          <w:szCs w:val="24"/>
        </w:rPr>
        <w:t>indicare denominazione / ragione sociale dell’operatore economico concorrente</w:t>
      </w:r>
      <w:r>
        <w:rPr>
          <w:rFonts w:ascii="Garamond" w:hAnsi="Garamond"/>
          <w:smallCaps/>
          <w:szCs w:val="24"/>
        </w:rPr>
        <w:t xml:space="preserve">) </w:t>
      </w:r>
    </w:p>
    <w:p w:rsidR="004065A6" w:rsidRDefault="00A272F2">
      <w:pPr>
        <w:tabs>
          <w:tab w:val="left" w:pos="720"/>
        </w:tabs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consapevole della responsabilità penale cui può andare incontro nel caso di affermazioni mendaci e delle relative sanzioni penali di cui all’art. 76 del D</w:t>
      </w:r>
      <w:r>
        <w:rPr>
          <w:rFonts w:ascii="Garamond" w:hAnsi="Garamond"/>
          <w:i/>
          <w:szCs w:val="24"/>
        </w:rPr>
        <w:t>.P.R. n. 445/2000, nonché delle conseguenze amministrative di esclusione dalle gare ai sensi della normativa vigente in materia</w:t>
      </w:r>
    </w:p>
    <w:p w:rsidR="00A272F2" w:rsidRDefault="00A272F2">
      <w:pPr>
        <w:tabs>
          <w:tab w:val="left" w:pos="720"/>
        </w:tabs>
        <w:jc w:val="both"/>
      </w:pPr>
    </w:p>
    <w:tbl>
      <w:tblPr>
        <w:tblStyle w:val="Grigliatabella"/>
        <w:tblW w:w="9110" w:type="dxa"/>
        <w:tblInd w:w="-5" w:type="dxa"/>
        <w:tblLook w:val="04A0" w:firstRow="1" w:lastRow="0" w:firstColumn="1" w:lastColumn="0" w:noHBand="0" w:noVBand="1"/>
      </w:tblPr>
      <w:tblGrid>
        <w:gridCol w:w="4110"/>
        <w:gridCol w:w="5000"/>
      </w:tblGrid>
      <w:tr w:rsidR="004065A6">
        <w:tc>
          <w:tcPr>
            <w:tcW w:w="9109" w:type="dxa"/>
            <w:gridSpan w:val="2"/>
            <w:shd w:val="clear" w:color="auto" w:fill="F2F2F2" w:themeFill="background1" w:themeFillShade="F2"/>
          </w:tcPr>
          <w:p w:rsidR="004065A6" w:rsidRDefault="00A272F2">
            <w:pPr>
              <w:tabs>
                <w:tab w:val="left" w:pos="284"/>
              </w:tabs>
              <w:jc w:val="center"/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Dichiara in relazione all’attività professionale e lavorativa pregressa</w:t>
            </w:r>
          </w:p>
        </w:tc>
      </w:tr>
      <w:tr w:rsidR="004065A6">
        <w:trPr>
          <w:trHeight w:val="1435"/>
        </w:trPr>
        <w:tc>
          <w:tcPr>
            <w:tcW w:w="4110" w:type="dxa"/>
          </w:tcPr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Elencare gli impieghi presso soggetti pubblici o privat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i, a tempo determinato/indeterminato, pieno o parziale, in qualsiasi qualifica o ruolo, anche di consulenza, retribuiti e/o a titolo gratuito, precisando se sono svolti attualmente o nei tre anni antecedenti la partecipazione alla procedura. </w:t>
            </w:r>
          </w:p>
          <w:p w:rsidR="004065A6" w:rsidRDefault="00A272F2">
            <w:pPr>
              <w:tabs>
                <w:tab w:val="left" w:pos="284"/>
              </w:tabs>
              <w:rPr>
                <w:i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Rendere apposita dichiarazione anche nel caso di insussistenza di impieghi</w:t>
            </w:r>
          </w:p>
        </w:tc>
        <w:tc>
          <w:tcPr>
            <w:tcW w:w="4999" w:type="dxa"/>
          </w:tcPr>
          <w:p w:rsidR="004065A6" w:rsidRDefault="004065A6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</w:tr>
      <w:tr w:rsidR="004065A6">
        <w:tc>
          <w:tcPr>
            <w:tcW w:w="4110" w:type="dxa"/>
          </w:tcPr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Elencare le partecipazioni ad organi collegiali (ad es. comitati, organi consultivi, commissioni o gruppi di lavoro) comunque denominati, a titolo oneroso e/o gratuito, precisando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se sono svolte attualmente o nei tre anni antecedenti la partecipazione alla procedura</w:t>
            </w:r>
          </w:p>
          <w:p w:rsidR="004065A6" w:rsidRDefault="00A272F2">
            <w:pPr>
              <w:tabs>
                <w:tab w:val="left" w:pos="284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Rendere apposita dichiarazione anche nel caso di insussistenza di partecipazioni</w:t>
            </w:r>
          </w:p>
        </w:tc>
        <w:tc>
          <w:tcPr>
            <w:tcW w:w="4999" w:type="dxa"/>
          </w:tcPr>
          <w:p w:rsidR="004065A6" w:rsidRDefault="004065A6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</w:tr>
      <w:tr w:rsidR="004065A6">
        <w:tc>
          <w:tcPr>
            <w:tcW w:w="4110" w:type="dxa"/>
          </w:tcPr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Elencare le partecipazioni a società di persone e/o di capitali, con o senza incarico di amministrazione, precisando se sono detenute attualmente o nei tre anni antecedenti la partecipazione alla procedura di gara</w:t>
            </w:r>
          </w:p>
          <w:p w:rsidR="004065A6" w:rsidRDefault="00A272F2">
            <w:pPr>
              <w:tabs>
                <w:tab w:val="left" w:pos="284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Rendere apposita dichiarazione anche nel c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aso di insussistenza di partecipazioni</w:t>
            </w:r>
          </w:p>
        </w:tc>
        <w:tc>
          <w:tcPr>
            <w:tcW w:w="4999" w:type="dxa"/>
          </w:tcPr>
          <w:p w:rsidR="004065A6" w:rsidRDefault="004065A6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</w:tr>
    </w:tbl>
    <w:p w:rsidR="004065A6" w:rsidRDefault="004065A6"/>
    <w:p w:rsidR="004065A6" w:rsidRDefault="004065A6"/>
    <w:tbl>
      <w:tblPr>
        <w:tblStyle w:val="Grigliatabella"/>
        <w:tblW w:w="9110" w:type="dxa"/>
        <w:tblInd w:w="-5" w:type="dxa"/>
        <w:tblLook w:val="04A0" w:firstRow="1" w:lastRow="0" w:firstColumn="1" w:lastColumn="0" w:noHBand="0" w:noVBand="1"/>
      </w:tblPr>
      <w:tblGrid>
        <w:gridCol w:w="4110"/>
        <w:gridCol w:w="5000"/>
      </w:tblGrid>
      <w:tr w:rsidR="004065A6" w:rsidTr="00A272F2">
        <w:tc>
          <w:tcPr>
            <w:tcW w:w="9110" w:type="dxa"/>
            <w:gridSpan w:val="2"/>
            <w:shd w:val="clear" w:color="auto" w:fill="F2F2F2" w:themeFill="background1" w:themeFillShade="F2"/>
          </w:tcPr>
          <w:p w:rsidR="004065A6" w:rsidRDefault="00A272F2">
            <w:pPr>
              <w:tabs>
                <w:tab w:val="left" w:pos="284"/>
              </w:tabs>
              <w:jc w:val="center"/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lastRenderedPageBreak/>
              <w:t>Dichiara in relazione agli interessi finanziari</w:t>
            </w:r>
          </w:p>
        </w:tc>
      </w:tr>
      <w:tr w:rsidR="004065A6" w:rsidTr="00A272F2">
        <w:trPr>
          <w:trHeight w:val="1435"/>
        </w:trPr>
        <w:tc>
          <w:tcPr>
            <w:tcW w:w="4110" w:type="dxa"/>
          </w:tcPr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Elencare le partecipazioni, in atto ovvero possedute nei tre anni antecedenti, in società di capitali pubbliche o private</w:t>
            </w:r>
          </w:p>
          <w:p w:rsidR="004065A6" w:rsidRDefault="00A272F2">
            <w:pPr>
              <w:tabs>
                <w:tab w:val="left" w:pos="284"/>
              </w:tabs>
              <w:rPr>
                <w:i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Rendere apposita dichiarazione anche nel caso di insussistenza di partecipazioni</w:t>
            </w:r>
          </w:p>
        </w:tc>
        <w:tc>
          <w:tcPr>
            <w:tcW w:w="5000" w:type="dxa"/>
          </w:tcPr>
          <w:p w:rsidR="004065A6" w:rsidRDefault="004065A6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</w:tr>
      <w:tr w:rsidR="004065A6" w:rsidTr="00A272F2">
        <w:trPr>
          <w:trHeight w:val="446"/>
        </w:trPr>
        <w:tc>
          <w:tcPr>
            <w:tcW w:w="9110" w:type="dxa"/>
            <w:gridSpan w:val="2"/>
            <w:shd w:val="clear" w:color="auto" w:fill="F2F2F2" w:themeFill="background1" w:themeFillShade="F2"/>
          </w:tcPr>
          <w:p w:rsidR="004065A6" w:rsidRDefault="00A272F2">
            <w:pPr>
              <w:tabs>
                <w:tab w:val="left" w:pos="284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In relazione ai rapporti e relazioni personali indicare</w:t>
            </w:r>
          </w:p>
        </w:tc>
      </w:tr>
      <w:tr w:rsidR="004065A6" w:rsidTr="00A272F2">
        <w:trPr>
          <w:trHeight w:val="1435"/>
        </w:trPr>
        <w:tc>
          <w:tcPr>
            <w:tcW w:w="4110" w:type="dxa"/>
          </w:tcPr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Se, attualmente o nei tre anni antecedenti, un parente, affine entro il secondo grado, il coniuge, il convivente o c</w:t>
            </w:r>
            <w:r>
              <w:rPr>
                <w:rFonts w:ascii="Calibri" w:hAnsi="Calibri"/>
                <w:i/>
                <w:sz w:val="18"/>
                <w:szCs w:val="18"/>
              </w:rPr>
              <w:t>olui con il quale si abbia frequentazione abituale rivesta o abbia rivestito, a titolo gratuito o oneroso, cariche o incarichi nell’ambito della Stazione appaltante ovvero abbia prestato per esse attività professionale, comunque denominata, a titolo gratui</w:t>
            </w:r>
            <w:r>
              <w:rPr>
                <w:rFonts w:ascii="Calibri" w:hAnsi="Calibri"/>
                <w:i/>
                <w:sz w:val="18"/>
                <w:szCs w:val="18"/>
              </w:rPr>
              <w:t>to o oneroso</w:t>
            </w:r>
          </w:p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Rendere apposita dichiarazione anche nel caso di insussistenza di tali ipotesi</w:t>
            </w:r>
          </w:p>
        </w:tc>
        <w:tc>
          <w:tcPr>
            <w:tcW w:w="5000" w:type="dxa"/>
          </w:tcPr>
          <w:p w:rsidR="004065A6" w:rsidRDefault="004065A6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</w:tr>
      <w:tr w:rsidR="004065A6" w:rsidTr="00A272F2">
        <w:trPr>
          <w:trHeight w:val="1435"/>
        </w:trPr>
        <w:tc>
          <w:tcPr>
            <w:tcW w:w="4110" w:type="dxa"/>
          </w:tcPr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Se, in p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rima persona, ovvero un parente, affine entro il secondo grado, il coniuge, il convivente o colui con il quale si abbia frequentazione abituale, abbia un contenzioso giurisdizionale pendente o concluso, nei tre anni antecedenti, con la Stazione appaltante </w:t>
            </w:r>
          </w:p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Rendere apposita dichiarazione anche nel caso di insussistenza di tali ipotesi</w:t>
            </w:r>
          </w:p>
        </w:tc>
        <w:tc>
          <w:tcPr>
            <w:tcW w:w="5000" w:type="dxa"/>
          </w:tcPr>
          <w:p w:rsidR="004065A6" w:rsidRDefault="004065A6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</w:tr>
      <w:tr w:rsidR="004065A6" w:rsidTr="00A272F2">
        <w:trPr>
          <w:trHeight w:hRule="exact" w:val="567"/>
        </w:trPr>
        <w:tc>
          <w:tcPr>
            <w:tcW w:w="9110" w:type="dxa"/>
            <w:gridSpan w:val="2"/>
            <w:shd w:val="clear" w:color="auto" w:fill="F2F2F2" w:themeFill="background1" w:themeFillShade="F2"/>
          </w:tcPr>
          <w:p w:rsidR="004065A6" w:rsidRDefault="00A272F2">
            <w:pPr>
              <w:tabs>
                <w:tab w:val="left" w:pos="284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Dichiara inoltre</w:t>
            </w:r>
          </w:p>
        </w:tc>
      </w:tr>
      <w:tr w:rsidR="004065A6" w:rsidTr="00A272F2">
        <w:trPr>
          <w:trHeight w:val="695"/>
        </w:trPr>
        <w:tc>
          <w:tcPr>
            <w:tcW w:w="4110" w:type="dxa"/>
          </w:tcPr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Indicare le circostanze ulteriori a quelle sopraelencate che, secondo un canone di ragionevolezza e buona fede, devono essere conosciute da parte dell’ammin</w:t>
            </w:r>
            <w:r>
              <w:rPr>
                <w:rFonts w:ascii="Calibri" w:hAnsi="Calibri"/>
                <w:i/>
                <w:sz w:val="18"/>
                <w:szCs w:val="18"/>
              </w:rPr>
              <w:t>istrazione in quanto ritenute significative nell’ottica della categoria delle “gravi ragioni di convenienza” di cui all’art. 7 del d.P.R. n. 62/2013</w:t>
            </w:r>
            <w:r>
              <w:rPr>
                <w:rStyle w:val="Richiamoallanotaapidipagina"/>
                <w:rFonts w:ascii="Calibri" w:hAnsi="Calibri"/>
                <w:i/>
                <w:sz w:val="18"/>
                <w:szCs w:val="18"/>
              </w:rPr>
              <w:footnoteReference w:id="1"/>
            </w:r>
          </w:p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Rendere apposita dichiarazione anche nel caso di insussistenza di tali ipotesi</w:t>
            </w:r>
          </w:p>
        </w:tc>
        <w:tc>
          <w:tcPr>
            <w:tcW w:w="5000" w:type="dxa"/>
          </w:tcPr>
          <w:p w:rsidR="004065A6" w:rsidRDefault="004065A6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</w:tr>
      <w:tr w:rsidR="004065A6" w:rsidTr="00A272F2">
        <w:trPr>
          <w:trHeight w:val="832"/>
        </w:trPr>
        <w:tc>
          <w:tcPr>
            <w:tcW w:w="4110" w:type="dxa"/>
          </w:tcPr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Se e quali delle ipotesi </w:t>
            </w:r>
            <w:r>
              <w:rPr>
                <w:rFonts w:ascii="Calibri" w:hAnsi="Calibri"/>
                <w:i/>
                <w:sz w:val="18"/>
                <w:szCs w:val="18"/>
              </w:rPr>
              <w:t>sopra contemplate si siano verificate più di tre anni prima del rilascio della dichiarazione</w:t>
            </w:r>
          </w:p>
          <w:p w:rsidR="004065A6" w:rsidRDefault="00A272F2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Rendere apposita dichiarazione anche nel caso di insussistenza di tali ipotesi</w:t>
            </w:r>
          </w:p>
        </w:tc>
        <w:tc>
          <w:tcPr>
            <w:tcW w:w="5000" w:type="dxa"/>
          </w:tcPr>
          <w:p w:rsidR="004065A6" w:rsidRDefault="004065A6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</w:tr>
    </w:tbl>
    <w:p w:rsidR="004065A6" w:rsidRDefault="00A272F2">
      <w:pPr>
        <w:widowControl w:val="0"/>
        <w:spacing w:before="0" w:after="0"/>
        <w:ind w:left="284" w:right="49" w:hanging="284"/>
        <w:rPr>
          <w:rFonts w:ascii="Garamond" w:eastAsia="TTE1979838t00" w:hAnsi="Garamond"/>
          <w:color w:val="auto"/>
          <w:szCs w:val="24"/>
          <w:lang w:eastAsia="zh-CN" w:bidi="ar-SA"/>
        </w:rPr>
      </w:pPr>
      <w:bookmarkStart w:id="0" w:name="_GoBack"/>
      <w:bookmarkEnd w:id="0"/>
      <w:r>
        <w:rPr>
          <w:rFonts w:ascii="Garamond" w:eastAsia="TTE1979838t00" w:hAnsi="Garamond"/>
          <w:i/>
          <w:color w:val="auto"/>
          <w:szCs w:val="24"/>
          <w:lang w:eastAsia="zh-CN" w:bidi="ar-SA"/>
        </w:rPr>
        <w:t>Luogo e data</w:t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color w:val="auto"/>
          <w:szCs w:val="24"/>
          <w:lang w:eastAsia="zh-CN" w:bidi="ar-SA"/>
        </w:rPr>
        <w:tab/>
      </w:r>
      <w:r>
        <w:rPr>
          <w:rFonts w:ascii="Garamond" w:eastAsia="TTE1979838t00" w:hAnsi="Garamond"/>
          <w:i/>
          <w:color w:val="auto"/>
          <w:szCs w:val="24"/>
          <w:lang w:eastAsia="zh-CN" w:bidi="ar-SA"/>
        </w:rPr>
        <w:t>Firma digitale</w:t>
      </w:r>
    </w:p>
    <w:p w:rsidR="004065A6" w:rsidRDefault="004065A6">
      <w:pPr>
        <w:spacing w:before="0" w:after="0"/>
        <w:jc w:val="both"/>
        <w:rPr>
          <w:rFonts w:ascii="Garamond" w:eastAsia="Times New Roman" w:hAnsi="Garamond"/>
          <w:color w:val="auto"/>
          <w:szCs w:val="24"/>
          <w:lang w:eastAsia="zh-CN" w:bidi="ar-SA"/>
        </w:rPr>
      </w:pPr>
    </w:p>
    <w:sectPr w:rsidR="004065A6">
      <w:footerReference w:type="default" r:id="rId7"/>
      <w:pgSz w:w="12240" w:h="15840"/>
      <w:pgMar w:top="1440" w:right="1325" w:bottom="1440" w:left="1800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A6" w:rsidRDefault="00A272F2">
      <w:pPr>
        <w:spacing w:before="0" w:after="0"/>
      </w:pPr>
      <w:r>
        <w:separator/>
      </w:r>
    </w:p>
  </w:endnote>
  <w:endnote w:type="continuationSeparator" w:id="0">
    <w:p w:rsidR="004065A6" w:rsidRDefault="00A272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979838t00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6" w:rsidRDefault="00A272F2">
    <w:pPr>
      <w:pStyle w:val="Pidipagina"/>
      <w:tabs>
        <w:tab w:val="clear" w:pos="9921"/>
        <w:tab w:val="right" w:pos="9356"/>
      </w:tabs>
      <w:ind w:right="-241"/>
      <w:jc w:val="right"/>
    </w:pP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>PAGE</w:instrText>
    </w:r>
    <w:r>
      <w:rPr>
        <w:rFonts w:cs="Calibri"/>
        <w:sz w:val="20"/>
        <w:szCs w:val="20"/>
      </w:rPr>
      <w:fldChar w:fldCharType="separate"/>
    </w:r>
    <w:r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  <w:p w:rsidR="004065A6" w:rsidRDefault="004065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A6" w:rsidRDefault="00A272F2">
      <w:pPr>
        <w:rPr>
          <w:sz w:val="12"/>
        </w:rPr>
      </w:pPr>
      <w:r>
        <w:separator/>
      </w:r>
    </w:p>
  </w:footnote>
  <w:footnote w:type="continuationSeparator" w:id="0">
    <w:p w:rsidR="004065A6" w:rsidRDefault="00A272F2">
      <w:pPr>
        <w:rPr>
          <w:sz w:val="12"/>
        </w:rPr>
      </w:pPr>
      <w:r>
        <w:continuationSeparator/>
      </w:r>
    </w:p>
  </w:footnote>
  <w:footnote w:id="1">
    <w:p w:rsidR="004065A6" w:rsidRDefault="00A272F2">
      <w:pPr>
        <w:pStyle w:val="Testonotaapidipagina"/>
        <w:rPr>
          <w:sz w:val="18"/>
          <w:szCs w:val="18"/>
        </w:rPr>
      </w:pPr>
      <w:r>
        <w:rPr>
          <w:rStyle w:val="Caratterinotaapidipagina"/>
        </w:rPr>
        <w:footnoteRef/>
      </w:r>
      <w:r>
        <w:t xml:space="preserve"> </w:t>
      </w:r>
      <w:r>
        <w:rPr>
          <w:sz w:val="18"/>
          <w:szCs w:val="18"/>
        </w:rPr>
        <w:t>Ad esempio, rapporti e relazioni personali come rapporti di vicinato, amicizia, fidanzamento ma non convivenza, ex coniugi, rilevanti interessi finanziari o attività professionale o lavorativa pregressa di parenti, affini o dal coniuge.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6"/>
    <w:rsid w:val="004065A6"/>
    <w:rsid w:val="00A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9FA771-F9D6-4544-B136-9BC6970E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after="120"/>
    </w:pPr>
    <w:rPr>
      <w:rFonts w:ascii="Times New Roman" w:eastAsia="Calibri" w:hAnsi="Times New Roman" w:cs="Times New Roman"/>
      <w:color w:val="00000A"/>
      <w:sz w:val="24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Cs w:val="20"/>
      <w:lang w:eastAsia="it-IT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/>
    </w:pPr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Calibri" w:hAnsi="Times New Roman" w:cs="Times New Roman"/>
      <w:color w:val="00000A"/>
      <w:sz w:val="24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Calibri" w:hAnsi="Times New Roman" w:cs="Times New Roman"/>
      <w:color w:val="00000A"/>
      <w:sz w:val="24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eastAsia="Calibri" w:hAnsi="Segoe UI" w:cs="Segoe UI"/>
      <w:color w:val="00000A"/>
      <w:sz w:val="18"/>
      <w:szCs w:val="18"/>
      <w:lang w:eastAsia="it-IT"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rFonts w:ascii="Times New Roman" w:eastAsia="Calibri" w:hAnsi="Times New Roman" w:cs="Times New Roman"/>
      <w:color w:val="00000A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western">
    <w:name w:val="western"/>
    <w:basedOn w:val="Normale"/>
    <w:qFormat/>
    <w:pPr>
      <w:spacing w:before="280" w:after="142" w:line="288" w:lineRule="auto"/>
    </w:pPr>
    <w:rPr>
      <w:rFonts w:eastAsia="Times New Roman"/>
      <w:color w:val="auto"/>
      <w:szCs w:val="24"/>
      <w:lang w:eastAsia="ar-SA" w:bidi="ar-SA"/>
    </w:rPr>
  </w:style>
  <w:style w:type="paragraph" w:customStyle="1" w:styleId="Standard">
    <w:name w:val="Standard"/>
    <w:qFormat/>
    <w:pPr>
      <w:spacing w:after="160" w:line="259" w:lineRule="auto"/>
    </w:pPr>
    <w:rPr>
      <w:rFonts w:ascii="Times New Roman" w:eastAsia="Times New Roman" w:hAnsi="Times New Roman" w:cs="Times New Roman"/>
      <w:sz w:val="24"/>
      <w:lang w:eastAsia="zh-CN"/>
    </w:rPr>
  </w:style>
  <w:style w:type="paragraph" w:styleId="Paragrafoelenco">
    <w:name w:val="List Paragraph"/>
    <w:basedOn w:val="Normale"/>
    <w:uiPriority w:val="34"/>
    <w:qFormat/>
    <w:pPr>
      <w:spacing w:before="0" w:after="0"/>
      <w:ind w:left="720"/>
    </w:pPr>
    <w:rPr>
      <w:rFonts w:eastAsia="Times New Roman" w:cs="Mangal"/>
      <w:color w:val="auto"/>
      <w:szCs w:val="24"/>
      <w:lang w:eastAsia="hi-I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before="0"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rebuchet MS" w:eastAsia="Calibri" w:hAnsi="Trebuchet MS" w:cs="Trebuchet MS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before="0" w:after="0"/>
    </w:pPr>
    <w:rPr>
      <w:sz w:val="20"/>
      <w:szCs w:val="20"/>
    </w:rPr>
  </w:style>
  <w:style w:type="table" w:styleId="Grigliatabella">
    <w:name w:val="Table Grid"/>
    <w:basedOn w:val="Tabellanormale"/>
    <w:uiPriority w:val="39"/>
    <w:rPr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A272F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4274-6FCE-42CE-9F4F-C918E312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Company>HP Inc.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MAINARDI, MONICA</dc:creator>
  <dc:description/>
  <cp:lastModifiedBy>Utente Windows</cp:lastModifiedBy>
  <cp:revision>15</cp:revision>
  <dcterms:created xsi:type="dcterms:W3CDTF">2022-09-07T14:36:00Z</dcterms:created>
  <dcterms:modified xsi:type="dcterms:W3CDTF">2024-04-11T08:49:00Z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